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7" w:rsidRDefault="008D2987" w:rsidP="008D2987">
      <w:pPr>
        <w:jc w:val="center"/>
        <w:rPr>
          <w:b/>
          <w:sz w:val="28"/>
          <w:szCs w:val="28"/>
        </w:rPr>
      </w:pPr>
      <w:r w:rsidRPr="007C2302">
        <w:rPr>
          <w:b/>
          <w:sz w:val="28"/>
          <w:szCs w:val="28"/>
        </w:rPr>
        <w:t>ZASADY OCENIANIA WIEDZY I UMIEJĘTNOŚCI</w:t>
      </w:r>
      <w:r>
        <w:rPr>
          <w:b/>
          <w:sz w:val="28"/>
          <w:szCs w:val="28"/>
        </w:rPr>
        <w:t xml:space="preserve"> UCZNIÓW</w:t>
      </w:r>
    </w:p>
    <w:p w:rsidR="008D2987" w:rsidRPr="007C2302" w:rsidRDefault="008D2987" w:rsidP="008D2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STOSOWANE W E - DZIENNIKU</w:t>
      </w:r>
    </w:p>
    <w:p w:rsidR="008D2987" w:rsidRPr="007C2302" w:rsidRDefault="008D2987" w:rsidP="008D2987">
      <w:pPr>
        <w:jc w:val="center"/>
      </w:pPr>
    </w:p>
    <w:p w:rsidR="008D2987" w:rsidRPr="007C2302" w:rsidRDefault="008D2987" w:rsidP="008D2987">
      <w:pPr>
        <w:pStyle w:val="Akapitzlist"/>
        <w:numPr>
          <w:ilvl w:val="0"/>
          <w:numId w:val="1"/>
        </w:numPr>
        <w:ind w:left="0" w:hanging="284"/>
        <w:contextualSpacing w:val="0"/>
        <w:jc w:val="both"/>
      </w:pPr>
      <w:r w:rsidRPr="007C2302">
        <w:t xml:space="preserve">Ocenianie śródroczne i </w:t>
      </w:r>
      <w:proofErr w:type="spellStart"/>
      <w:r w:rsidRPr="007C2302">
        <w:t>końcoworoczne</w:t>
      </w:r>
      <w:proofErr w:type="spellEnd"/>
      <w:r w:rsidRPr="007C2302">
        <w:t xml:space="preserve"> uczniów w  klasach I – III dokonuje się w formie opisowej w module OCENA OPISOWA.</w:t>
      </w:r>
    </w:p>
    <w:p w:rsidR="008D2987" w:rsidRPr="007C2302" w:rsidRDefault="008D2987" w:rsidP="008D2987">
      <w:pPr>
        <w:pStyle w:val="Akapitzlist"/>
        <w:ind w:left="0"/>
        <w:contextualSpacing w:val="0"/>
        <w:jc w:val="both"/>
      </w:pPr>
    </w:p>
    <w:p w:rsidR="008D2987" w:rsidRPr="00492ACC" w:rsidRDefault="008D2987" w:rsidP="008D2987">
      <w:pPr>
        <w:pStyle w:val="Akapitzlist"/>
        <w:numPr>
          <w:ilvl w:val="0"/>
          <w:numId w:val="1"/>
        </w:numPr>
        <w:tabs>
          <w:tab w:val="num" w:pos="426"/>
        </w:tabs>
        <w:ind w:left="0" w:hanging="284"/>
        <w:contextualSpacing w:val="0"/>
        <w:jc w:val="both"/>
        <w:textDirection w:val="btLr"/>
        <w:textAlignment w:val="top"/>
      </w:pPr>
      <w:r w:rsidRPr="00492ACC">
        <w:t xml:space="preserve">W ocenianiu bieżącym dopuszcza się stosowanie w e-dzienniku: </w:t>
      </w:r>
    </w:p>
    <w:p w:rsidR="008D2987" w:rsidRDefault="008D2987" w:rsidP="008D2987">
      <w:pPr>
        <w:pStyle w:val="Akapitzlist"/>
        <w:numPr>
          <w:ilvl w:val="0"/>
          <w:numId w:val="4"/>
        </w:numPr>
        <w:tabs>
          <w:tab w:val="left" w:pos="426"/>
        </w:tabs>
        <w:ind w:left="0"/>
        <w:contextualSpacing w:val="0"/>
        <w:jc w:val="both"/>
        <w:textDirection w:val="btLr"/>
        <w:textAlignment w:val="top"/>
      </w:pPr>
      <w:r w:rsidRPr="00492ACC">
        <w:t>w klasach IV-VIII przy ocenianiu bieżącym dopuszcza się stosowanie z</w:t>
      </w:r>
      <w:r>
        <w:t>naku „+” (plus) lub „–” (minus),</w:t>
      </w:r>
    </w:p>
    <w:p w:rsidR="008D2987" w:rsidRDefault="008D2987" w:rsidP="008D2987">
      <w:pPr>
        <w:pStyle w:val="Akapitzlist"/>
        <w:numPr>
          <w:ilvl w:val="0"/>
          <w:numId w:val="4"/>
        </w:numPr>
        <w:tabs>
          <w:tab w:val="left" w:pos="426"/>
        </w:tabs>
        <w:ind w:left="0"/>
        <w:contextualSpacing w:val="0"/>
        <w:jc w:val="both"/>
        <w:textDirection w:val="btLr"/>
        <w:textAlignment w:val="top"/>
      </w:pPr>
      <w:r w:rsidRPr="00492ACC">
        <w:t>niekonwencjonalnych skrót</w:t>
      </w:r>
      <w:bookmarkStart w:id="0" w:name="_GoBack"/>
      <w:bookmarkEnd w:id="0"/>
      <w:r w:rsidRPr="00492ACC">
        <w:t xml:space="preserve">ów i symboli w e - dzienniku: „0” (zero – brak napisanej pracy klasowej, brak oddanej pracy), </w:t>
      </w:r>
      <w:proofErr w:type="spellStart"/>
      <w:r w:rsidRPr="00492ACC">
        <w:t>np</w:t>
      </w:r>
      <w:proofErr w:type="spellEnd"/>
      <w:r w:rsidRPr="00492ACC">
        <w:t xml:space="preserve"> (nieprzygotowanie), </w:t>
      </w:r>
      <w:proofErr w:type="spellStart"/>
      <w:r w:rsidRPr="00492ACC">
        <w:t>nb</w:t>
      </w:r>
      <w:proofErr w:type="spellEnd"/>
      <w:r w:rsidRPr="00492ACC">
        <w:t xml:space="preserve"> (uczeń nieobecny), </w:t>
      </w:r>
      <w:proofErr w:type="spellStart"/>
      <w:r w:rsidRPr="00492ACC">
        <w:t>zw</w:t>
      </w:r>
      <w:proofErr w:type="spellEnd"/>
      <w:r w:rsidRPr="00492ACC">
        <w:t xml:space="preserve"> (zwolniony), </w:t>
      </w:r>
      <w:proofErr w:type="spellStart"/>
      <w:r w:rsidRPr="00492ACC">
        <w:t>bz</w:t>
      </w:r>
      <w:proofErr w:type="spellEnd"/>
      <w:r w:rsidRPr="00492ACC">
        <w:t xml:space="preserve"> (brak zadania)</w:t>
      </w:r>
      <w:r>
        <w:t>,</w:t>
      </w:r>
    </w:p>
    <w:p w:rsidR="008D2987" w:rsidRPr="00492ACC" w:rsidRDefault="008D2987" w:rsidP="008D2987">
      <w:pPr>
        <w:pStyle w:val="Akapitzlist"/>
        <w:numPr>
          <w:ilvl w:val="0"/>
          <w:numId w:val="4"/>
        </w:numPr>
        <w:tabs>
          <w:tab w:val="left" w:pos="426"/>
        </w:tabs>
        <w:ind w:left="0"/>
        <w:contextualSpacing w:val="0"/>
        <w:jc w:val="both"/>
        <w:textDirection w:val="btLr"/>
        <w:textAlignment w:val="top"/>
      </w:pPr>
      <w:r w:rsidRPr="00492ACC">
        <w:t>oznaczeń frekwencji w e – dzienniku: „•” obecność,</w:t>
      </w:r>
      <w:r w:rsidRPr="00492ACC">
        <w:rPr>
          <w:b/>
        </w:rPr>
        <w:t xml:space="preserve"> </w:t>
      </w:r>
      <w:r w:rsidRPr="00492ACC">
        <w:rPr>
          <w:rFonts w:eastAsia="Calibri"/>
        </w:rPr>
        <w:t>„</w:t>
      </w:r>
      <w:r w:rsidRPr="00492ACC">
        <w:rPr>
          <w:b/>
        </w:rPr>
        <w:t xml:space="preserve">–” </w:t>
      </w:r>
      <w:r w:rsidRPr="00492ACC">
        <w:t>nieobecność, „u” nieobecność usprawiedliwiona, „s” spóźnienie, „</w:t>
      </w:r>
      <w:proofErr w:type="spellStart"/>
      <w:r w:rsidRPr="00492ACC">
        <w:t>ns</w:t>
      </w:r>
      <w:proofErr w:type="spellEnd"/>
      <w:r w:rsidRPr="00492ACC">
        <w:t>” nieobecność z przyczyn szkolnych, „</w:t>
      </w:r>
      <w:proofErr w:type="spellStart"/>
      <w:r w:rsidRPr="00492ACC">
        <w:t>nu</w:t>
      </w:r>
      <w:proofErr w:type="spellEnd"/>
      <w:r w:rsidRPr="00492ACC">
        <w:t>” nie uczęszcza, „san” sanatorium, „</w:t>
      </w:r>
      <w:proofErr w:type="spellStart"/>
      <w:r w:rsidRPr="00492ACC">
        <w:t>su</w:t>
      </w:r>
      <w:proofErr w:type="spellEnd"/>
      <w:r w:rsidRPr="00492ACC">
        <w:t>” spóźnienie usprawiedliwione, „</w:t>
      </w:r>
      <w:proofErr w:type="spellStart"/>
      <w:r w:rsidRPr="00492ACC">
        <w:t>zn</w:t>
      </w:r>
      <w:proofErr w:type="spellEnd"/>
      <w:r w:rsidRPr="00492ACC">
        <w:t>” zdalne nauczanie, „</w:t>
      </w:r>
      <w:proofErr w:type="spellStart"/>
      <w:r w:rsidRPr="00492ACC">
        <w:t>znp</w:t>
      </w:r>
      <w:proofErr w:type="spellEnd"/>
      <w:r w:rsidRPr="00492ACC">
        <w:t>” przesyłanie prac podczas zdalnego nauczania.</w:t>
      </w:r>
    </w:p>
    <w:p w:rsidR="008D2987" w:rsidRPr="007C2302" w:rsidRDefault="008D2987" w:rsidP="008D2987">
      <w:pPr>
        <w:jc w:val="both"/>
      </w:pPr>
    </w:p>
    <w:p w:rsidR="008D2987" w:rsidRPr="007C2302" w:rsidRDefault="008D2987" w:rsidP="008D2987">
      <w:pPr>
        <w:pStyle w:val="Akapitzlist"/>
        <w:numPr>
          <w:ilvl w:val="0"/>
          <w:numId w:val="1"/>
        </w:numPr>
        <w:ind w:left="0" w:hanging="284"/>
        <w:contextualSpacing w:val="0"/>
        <w:jc w:val="both"/>
      </w:pPr>
      <w:r w:rsidRPr="007C2302">
        <w:t xml:space="preserve">W ocenianiu bieżącym stosuje się następującą skalę ocen: </w:t>
      </w:r>
    </w:p>
    <w:p w:rsidR="008D2987" w:rsidRPr="007C2302" w:rsidRDefault="008D2987" w:rsidP="008D2987"/>
    <w:p w:rsidR="008D2987" w:rsidRPr="007C2302" w:rsidRDefault="008D2987" w:rsidP="008D2987">
      <w:pPr>
        <w:pStyle w:val="Akapitzlist"/>
        <w:numPr>
          <w:ilvl w:val="0"/>
          <w:numId w:val="3"/>
        </w:numPr>
        <w:ind w:left="0"/>
        <w:contextualSpacing w:val="0"/>
      </w:pPr>
      <w:r w:rsidRPr="007C2302">
        <w:t>6 celujący (100 %)</w:t>
      </w:r>
    </w:p>
    <w:p w:rsidR="008D2987" w:rsidRPr="007C2302" w:rsidRDefault="008D2987" w:rsidP="008D2987">
      <w:pPr>
        <w:pStyle w:val="Akapitzlist"/>
        <w:numPr>
          <w:ilvl w:val="0"/>
          <w:numId w:val="3"/>
        </w:numPr>
        <w:ind w:left="0"/>
        <w:contextualSpacing w:val="0"/>
      </w:pPr>
      <w:r w:rsidRPr="007C2302">
        <w:t>5 bardzo dobry (</w:t>
      </w:r>
      <w:r>
        <w:t xml:space="preserve">99 % - </w:t>
      </w:r>
      <w:r w:rsidRPr="007C2302">
        <w:t>90 %)</w:t>
      </w:r>
    </w:p>
    <w:p w:rsidR="008D2987" w:rsidRPr="007C2302" w:rsidRDefault="008D2987" w:rsidP="008D2987">
      <w:pPr>
        <w:pStyle w:val="Akapitzlist"/>
        <w:numPr>
          <w:ilvl w:val="0"/>
          <w:numId w:val="3"/>
        </w:numPr>
        <w:ind w:left="0"/>
        <w:contextualSpacing w:val="0"/>
      </w:pPr>
      <w:r w:rsidRPr="007C2302">
        <w:t>4 dobry (</w:t>
      </w:r>
      <w:r>
        <w:t xml:space="preserve">89 % - </w:t>
      </w:r>
      <w:r w:rsidRPr="007C2302">
        <w:t>75 %)</w:t>
      </w:r>
    </w:p>
    <w:p w:rsidR="008D2987" w:rsidRPr="007C2302" w:rsidRDefault="008D2987" w:rsidP="008D2987">
      <w:pPr>
        <w:pStyle w:val="Akapitzlist"/>
        <w:numPr>
          <w:ilvl w:val="0"/>
          <w:numId w:val="3"/>
        </w:numPr>
        <w:ind w:left="0"/>
        <w:contextualSpacing w:val="0"/>
      </w:pPr>
      <w:r w:rsidRPr="007C2302">
        <w:t>3 dostateczny (</w:t>
      </w:r>
      <w:r>
        <w:t xml:space="preserve">74 % - </w:t>
      </w:r>
      <w:r w:rsidRPr="007C2302">
        <w:t>50 %)</w:t>
      </w:r>
    </w:p>
    <w:p w:rsidR="008D2987" w:rsidRPr="007C2302" w:rsidRDefault="008D2987" w:rsidP="008D2987">
      <w:pPr>
        <w:pStyle w:val="Akapitzlist"/>
        <w:numPr>
          <w:ilvl w:val="0"/>
          <w:numId w:val="3"/>
        </w:numPr>
        <w:ind w:left="0"/>
        <w:contextualSpacing w:val="0"/>
      </w:pPr>
      <w:r w:rsidRPr="007C2302">
        <w:t>2 dopuszczający (</w:t>
      </w:r>
      <w:r>
        <w:t xml:space="preserve">49 % - </w:t>
      </w:r>
      <w:r w:rsidRPr="007C2302">
        <w:t>30 %)</w:t>
      </w:r>
    </w:p>
    <w:p w:rsidR="008D2987" w:rsidRPr="007C2302" w:rsidRDefault="008D2987" w:rsidP="008D2987">
      <w:pPr>
        <w:pStyle w:val="Akapitzlist"/>
        <w:numPr>
          <w:ilvl w:val="0"/>
          <w:numId w:val="3"/>
        </w:numPr>
        <w:ind w:left="0"/>
        <w:contextualSpacing w:val="0"/>
      </w:pPr>
      <w:r w:rsidRPr="007C2302">
        <w:t>1 niedostateczny (poniżej 30 %)</w:t>
      </w:r>
    </w:p>
    <w:p w:rsidR="008D2987" w:rsidRPr="007C2302" w:rsidRDefault="008D2987" w:rsidP="008D2987">
      <w:pPr>
        <w:pStyle w:val="Akapitzlist"/>
        <w:ind w:left="0"/>
        <w:contextualSpacing w:val="0"/>
      </w:pPr>
    </w:p>
    <w:p w:rsidR="008D2987" w:rsidRPr="007C2302" w:rsidRDefault="008D2987" w:rsidP="008D2987">
      <w:pPr>
        <w:pStyle w:val="Akapitzlist"/>
        <w:numPr>
          <w:ilvl w:val="0"/>
          <w:numId w:val="1"/>
        </w:numPr>
        <w:ind w:left="0" w:hanging="284"/>
        <w:contextualSpacing w:val="0"/>
        <w:jc w:val="both"/>
      </w:pPr>
      <w:r w:rsidRPr="007C2302">
        <w:t>W ocenianiu bieżącym o stosowaniu „+” i „-” przy ocenie decyduje każdy nauczyciel indywidualnie.</w:t>
      </w:r>
    </w:p>
    <w:p w:rsidR="008D2987" w:rsidRPr="007C2302" w:rsidRDefault="008D2987" w:rsidP="008D2987">
      <w:pPr>
        <w:pStyle w:val="Akapitzlist"/>
        <w:ind w:left="0"/>
        <w:contextualSpacing w:val="0"/>
        <w:jc w:val="both"/>
      </w:pPr>
    </w:p>
    <w:p w:rsidR="008D2987" w:rsidRPr="007C2302" w:rsidRDefault="008D2987" w:rsidP="008D2987">
      <w:pPr>
        <w:pStyle w:val="Default"/>
        <w:numPr>
          <w:ilvl w:val="0"/>
          <w:numId w:val="1"/>
        </w:numPr>
        <w:ind w:left="0" w:hanging="284"/>
        <w:jc w:val="both"/>
      </w:pPr>
      <w:r w:rsidRPr="007C2302">
        <w:t xml:space="preserve">Oceny w dzienniku oznaczone są odpowiednimi kolorami i posiadają odpowiednia wagę, wpływającą na średnią: </w:t>
      </w:r>
    </w:p>
    <w:p w:rsidR="008D2987" w:rsidRPr="007C2302" w:rsidRDefault="008D2987" w:rsidP="008D2987">
      <w:pPr>
        <w:pStyle w:val="Default"/>
      </w:pPr>
    </w:p>
    <w:p w:rsidR="008D2987" w:rsidRPr="007C2302" w:rsidRDefault="008D2987" w:rsidP="008D2987">
      <w:pPr>
        <w:pStyle w:val="Default"/>
        <w:rPr>
          <w:b/>
        </w:rPr>
      </w:pPr>
      <w:r w:rsidRPr="007C2302">
        <w:rPr>
          <w:b/>
        </w:rPr>
        <w:t xml:space="preserve">a) waga 3, kolor czerwony: </w:t>
      </w:r>
    </w:p>
    <w:p w:rsidR="008D2987" w:rsidRPr="007C2302" w:rsidRDefault="008D2987" w:rsidP="008D2987">
      <w:pPr>
        <w:pStyle w:val="Default"/>
      </w:pPr>
      <w:r w:rsidRPr="007C2302">
        <w:t xml:space="preserve">1) sprawdziany, testy, dyktanda, wypracowania; </w:t>
      </w:r>
    </w:p>
    <w:p w:rsidR="008D2987" w:rsidRPr="007C2302" w:rsidRDefault="008D2987" w:rsidP="008D2987">
      <w:pPr>
        <w:pStyle w:val="Default"/>
      </w:pPr>
      <w:r w:rsidRPr="007C2302">
        <w:t xml:space="preserve">2) osiągnięcia w konkursach (punktowane miejsca, wyróżnienia); </w:t>
      </w:r>
    </w:p>
    <w:p w:rsidR="008D2987" w:rsidRPr="007C2302" w:rsidRDefault="008D2987" w:rsidP="008D2987">
      <w:pPr>
        <w:pStyle w:val="Default"/>
      </w:pPr>
    </w:p>
    <w:p w:rsidR="008D2987" w:rsidRPr="007C2302" w:rsidRDefault="008D2987" w:rsidP="008D2987">
      <w:pPr>
        <w:pStyle w:val="Default"/>
        <w:rPr>
          <w:b/>
        </w:rPr>
      </w:pPr>
      <w:r w:rsidRPr="007C2302">
        <w:rPr>
          <w:b/>
        </w:rPr>
        <w:t xml:space="preserve">b) waga 2, kolor zielony: </w:t>
      </w:r>
    </w:p>
    <w:p w:rsidR="008D2987" w:rsidRPr="007C2302" w:rsidRDefault="008D2987" w:rsidP="008D2987">
      <w:pPr>
        <w:pStyle w:val="Default"/>
      </w:pPr>
      <w:r w:rsidRPr="007C2302">
        <w:t xml:space="preserve">1) kartkówki </w:t>
      </w:r>
    </w:p>
    <w:p w:rsidR="008D2987" w:rsidRPr="007C2302" w:rsidRDefault="008D2987" w:rsidP="008D2987">
      <w:pPr>
        <w:pStyle w:val="Default"/>
      </w:pPr>
      <w:r w:rsidRPr="007C2302">
        <w:t xml:space="preserve">2) prace pisemne </w:t>
      </w:r>
    </w:p>
    <w:p w:rsidR="008D2987" w:rsidRPr="007C2302" w:rsidRDefault="008D2987" w:rsidP="008D2987">
      <w:pPr>
        <w:pStyle w:val="Default"/>
      </w:pPr>
      <w:r w:rsidRPr="007C2302">
        <w:t xml:space="preserve">3) odpowiedzi ustne </w:t>
      </w:r>
    </w:p>
    <w:p w:rsidR="008D2987" w:rsidRPr="007C2302" w:rsidRDefault="008D2987" w:rsidP="008D2987">
      <w:pPr>
        <w:pStyle w:val="Default"/>
      </w:pPr>
      <w:r w:rsidRPr="007C2302">
        <w:t>4) praca na lekcjach</w:t>
      </w:r>
    </w:p>
    <w:p w:rsidR="008D2987" w:rsidRPr="007C2302" w:rsidRDefault="008D2987" w:rsidP="008D2987">
      <w:pPr>
        <w:pStyle w:val="Default"/>
      </w:pPr>
    </w:p>
    <w:p w:rsidR="008D2987" w:rsidRPr="007C2302" w:rsidRDefault="008D2987" w:rsidP="008D2987">
      <w:pPr>
        <w:pStyle w:val="Default"/>
        <w:rPr>
          <w:b/>
        </w:rPr>
      </w:pPr>
      <w:r w:rsidRPr="007C2302">
        <w:rPr>
          <w:b/>
        </w:rPr>
        <w:t>c) waga 1, kolor czarny</w:t>
      </w:r>
    </w:p>
    <w:p w:rsidR="008D2987" w:rsidRPr="007C2302" w:rsidRDefault="008D2987" w:rsidP="008D2987">
      <w:pPr>
        <w:pStyle w:val="Default"/>
      </w:pPr>
      <w:r w:rsidRPr="007C2302">
        <w:t xml:space="preserve">1) aktywność na lekcji </w:t>
      </w:r>
    </w:p>
    <w:p w:rsidR="008D2987" w:rsidRPr="007C2302" w:rsidRDefault="008D2987" w:rsidP="008D2987">
      <w:pPr>
        <w:pStyle w:val="Default"/>
      </w:pPr>
      <w:r w:rsidRPr="007C2302">
        <w:t xml:space="preserve">2) zadania domowe </w:t>
      </w:r>
    </w:p>
    <w:p w:rsidR="008D2987" w:rsidRPr="007C2302" w:rsidRDefault="008D2987" w:rsidP="008D2987">
      <w:pPr>
        <w:pStyle w:val="Default"/>
      </w:pPr>
      <w:r w:rsidRPr="007C2302">
        <w:t xml:space="preserve">3) udział w konkursach i zawodach </w:t>
      </w:r>
    </w:p>
    <w:p w:rsidR="008D2987" w:rsidRPr="007C2302" w:rsidRDefault="008D2987" w:rsidP="008D2987">
      <w:pPr>
        <w:pStyle w:val="Default"/>
      </w:pPr>
    </w:p>
    <w:p w:rsidR="008D2987" w:rsidRPr="00DC26C5" w:rsidRDefault="008D2987" w:rsidP="008D2987">
      <w:pPr>
        <w:pStyle w:val="Default"/>
        <w:numPr>
          <w:ilvl w:val="0"/>
          <w:numId w:val="1"/>
        </w:numPr>
        <w:ind w:left="0" w:hanging="284"/>
        <w:jc w:val="both"/>
      </w:pPr>
      <w:r w:rsidRPr="00DC26C5">
        <w:t xml:space="preserve">Nie </w:t>
      </w:r>
      <w:r>
        <w:t>należy</w:t>
      </w:r>
      <w:r w:rsidRPr="00DC26C5">
        <w:t xml:space="preserve"> usuwać lub zmieniać oceny raz już wpisanej – dotyczy poprawionych ocen </w:t>
      </w:r>
      <w:r>
        <w:br/>
      </w:r>
      <w:r w:rsidRPr="00DC26C5">
        <w:t xml:space="preserve">z kartkówek, sprawdzianów lub innych (za wyjątkiem błędnych wpisów). </w:t>
      </w:r>
    </w:p>
    <w:p w:rsidR="008D2987" w:rsidRPr="00DC26C5" w:rsidRDefault="008D2987" w:rsidP="008D2987">
      <w:pPr>
        <w:pStyle w:val="Default"/>
        <w:numPr>
          <w:ilvl w:val="0"/>
          <w:numId w:val="1"/>
        </w:numPr>
        <w:ind w:left="0" w:hanging="284"/>
        <w:jc w:val="both"/>
      </w:pPr>
      <w:r w:rsidRPr="00DC26C5">
        <w:lastRenderedPageBreak/>
        <w:t>Otrzymana ocena z poprawy zostaje wpisana w dodatkowej kolumnie</w:t>
      </w:r>
      <w:r w:rsidRPr="00DC26C5">
        <w:rPr>
          <w:b/>
        </w:rPr>
        <w:t xml:space="preserve"> </w:t>
      </w:r>
      <w:r w:rsidRPr="00DC26C5">
        <w:t xml:space="preserve">z symbolem „p” </w:t>
      </w:r>
      <w:r>
        <w:br/>
      </w:r>
      <w:r w:rsidRPr="00DC26C5">
        <w:t>i odpowiednio opisana z zachowaniem tej samej wagi.</w:t>
      </w:r>
    </w:p>
    <w:p w:rsidR="008D2987" w:rsidRPr="00DC26C5" w:rsidRDefault="008D2987" w:rsidP="008D2987">
      <w:pPr>
        <w:jc w:val="both"/>
      </w:pPr>
    </w:p>
    <w:p w:rsidR="008D2987" w:rsidRPr="00DC26C5" w:rsidRDefault="008D2987" w:rsidP="008D2987">
      <w:pPr>
        <w:pStyle w:val="Akapitzlist"/>
        <w:numPr>
          <w:ilvl w:val="0"/>
          <w:numId w:val="1"/>
        </w:numPr>
        <w:ind w:left="0" w:hanging="284"/>
        <w:contextualSpacing w:val="0"/>
        <w:jc w:val="both"/>
      </w:pPr>
      <w:r w:rsidRPr="00DC26C5">
        <w:t>Do wystawienia oceny półrocznej i rocznej nauczyciel stosuje średnią ważoną.</w:t>
      </w:r>
    </w:p>
    <w:p w:rsidR="008D2987" w:rsidRPr="00DC26C5" w:rsidRDefault="008D2987" w:rsidP="008D2987">
      <w:pPr>
        <w:pStyle w:val="Akapitzlist"/>
        <w:ind w:left="0"/>
        <w:contextualSpacing w:val="0"/>
      </w:pPr>
    </w:p>
    <w:p w:rsidR="008D2987" w:rsidRPr="00DC26C5" w:rsidRDefault="008D2987" w:rsidP="008D2987">
      <w:pPr>
        <w:pStyle w:val="Akapitzlist"/>
        <w:numPr>
          <w:ilvl w:val="0"/>
          <w:numId w:val="2"/>
        </w:numPr>
        <w:ind w:left="0" w:hanging="284"/>
        <w:contextualSpacing w:val="0"/>
        <w:rPr>
          <w:b/>
          <w:sz w:val="32"/>
          <w:szCs w:val="32"/>
        </w:rPr>
      </w:pPr>
      <w:r w:rsidRPr="00DC26C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4AD9" wp14:editId="13A567DD">
                <wp:simplePos x="0" y="0"/>
                <wp:positionH relativeFrom="column">
                  <wp:posOffset>1830705</wp:posOffset>
                </wp:positionH>
                <wp:positionV relativeFrom="paragraph">
                  <wp:posOffset>211455</wp:posOffset>
                </wp:positionV>
                <wp:extent cx="441325" cy="0"/>
                <wp:effectExtent l="12065" t="11430" r="13335" b="762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173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44.15pt;margin-top:16.65pt;width: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iXOAIAAE8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"/>
            </w:pict>
          </mc:Fallback>
        </mc:AlternateContent>
      </w:r>
      <w:r w:rsidRPr="00DC26C5">
        <w:rPr>
          <w:b/>
          <w:sz w:val="32"/>
          <w:szCs w:val="32"/>
        </w:rPr>
        <w:t xml:space="preserve">Średnia ważona = </w:t>
      </w:r>
      <w:r w:rsidRPr="00DC26C5">
        <w:rPr>
          <w:b/>
          <w:sz w:val="32"/>
          <w:szCs w:val="32"/>
          <w:vertAlign w:val="superscript"/>
        </w:rPr>
        <w:t xml:space="preserve">∑(Ok. x </w:t>
      </w:r>
      <w:proofErr w:type="spellStart"/>
      <w:r w:rsidRPr="00DC26C5">
        <w:rPr>
          <w:b/>
          <w:sz w:val="32"/>
          <w:szCs w:val="32"/>
          <w:vertAlign w:val="superscript"/>
        </w:rPr>
        <w:t>Wk</w:t>
      </w:r>
      <w:proofErr w:type="spellEnd"/>
      <w:r w:rsidRPr="00DC26C5">
        <w:rPr>
          <w:b/>
          <w:sz w:val="32"/>
          <w:szCs w:val="32"/>
          <w:vertAlign w:val="superscript"/>
        </w:rPr>
        <w:t xml:space="preserve">)     </w:t>
      </w:r>
    </w:p>
    <w:p w:rsidR="008D2987" w:rsidRPr="00DC26C5" w:rsidRDefault="008D2987" w:rsidP="008D2987">
      <w:pPr>
        <w:pStyle w:val="Akapitzlist"/>
        <w:ind w:left="0"/>
        <w:contextualSpacing w:val="0"/>
        <w:rPr>
          <w:b/>
          <w:sz w:val="32"/>
          <w:szCs w:val="32"/>
          <w:vertAlign w:val="superscript"/>
        </w:rPr>
      </w:pPr>
      <w:r w:rsidRPr="00DC26C5">
        <w:rPr>
          <w:b/>
          <w:sz w:val="32"/>
          <w:szCs w:val="32"/>
          <w:vertAlign w:val="superscript"/>
        </w:rPr>
        <w:t xml:space="preserve">                                                      ∑W</w:t>
      </w:r>
      <w:r w:rsidRPr="00DC26C5">
        <w:rPr>
          <w:sz w:val="32"/>
          <w:szCs w:val="32"/>
          <w:vertAlign w:val="superscript"/>
        </w:rPr>
        <w:t xml:space="preserve">                  </w:t>
      </w:r>
    </w:p>
    <w:p w:rsidR="008D2987" w:rsidRPr="00DC26C5" w:rsidRDefault="008D2987" w:rsidP="008D2987">
      <w:pPr>
        <w:rPr>
          <w:b/>
          <w:vertAlign w:val="superscript"/>
        </w:rPr>
      </w:pPr>
    </w:p>
    <w:p w:rsidR="008D2987" w:rsidRPr="00DC26C5" w:rsidRDefault="008D2987" w:rsidP="008D2987">
      <w:pPr>
        <w:rPr>
          <w:b/>
          <w:sz w:val="32"/>
          <w:szCs w:val="32"/>
          <w:vertAlign w:val="superscript"/>
        </w:rPr>
      </w:pPr>
      <w:r w:rsidRPr="00DC26C5">
        <w:rPr>
          <w:b/>
          <w:sz w:val="32"/>
          <w:szCs w:val="32"/>
          <w:vertAlign w:val="superscript"/>
        </w:rPr>
        <w:t xml:space="preserve">(∑ - suma, Ok  – ocena z danej kategorii, </w:t>
      </w:r>
      <w:proofErr w:type="spellStart"/>
      <w:r w:rsidRPr="00DC26C5">
        <w:rPr>
          <w:b/>
          <w:sz w:val="32"/>
          <w:szCs w:val="32"/>
          <w:vertAlign w:val="superscript"/>
        </w:rPr>
        <w:t>Wk</w:t>
      </w:r>
      <w:proofErr w:type="spellEnd"/>
      <w:r w:rsidRPr="00DC26C5">
        <w:rPr>
          <w:b/>
          <w:sz w:val="32"/>
          <w:szCs w:val="32"/>
          <w:vertAlign w:val="superscript"/>
        </w:rPr>
        <w:t xml:space="preserve"> – waga danej kategorii, W – wagi poszczególnych ocen)</w:t>
      </w:r>
    </w:p>
    <w:p w:rsidR="008D2987" w:rsidRPr="00DC26C5" w:rsidRDefault="008D2987" w:rsidP="008D2987">
      <w:pPr>
        <w:pStyle w:val="Akapitzlist"/>
        <w:ind w:left="0"/>
        <w:contextualSpacing w:val="0"/>
        <w:jc w:val="both"/>
        <w:rPr>
          <w:b/>
          <w:vertAlign w:val="superscript"/>
        </w:rPr>
      </w:pPr>
    </w:p>
    <w:p w:rsidR="008D2987" w:rsidRPr="00DC26C5" w:rsidRDefault="008D2987" w:rsidP="008D2987">
      <w:pPr>
        <w:jc w:val="both"/>
        <w:rPr>
          <w:b/>
          <w:vertAlign w:val="superscript"/>
        </w:rPr>
      </w:pPr>
      <w:r w:rsidRPr="00DC26C5">
        <w:t xml:space="preserve"> (w dzienniku elektronicznym liczona automatycznie po wpisaniu każdej oceny)</w:t>
      </w:r>
      <w:r w:rsidRPr="00DC26C5">
        <w:rPr>
          <w:b/>
          <w:vertAlign w:val="superscript"/>
        </w:rPr>
        <w:t xml:space="preserve">      </w:t>
      </w:r>
    </w:p>
    <w:p w:rsidR="008D2987" w:rsidRPr="00DC26C5" w:rsidRDefault="008D2987" w:rsidP="008D2987">
      <w:pPr>
        <w:pStyle w:val="Default"/>
        <w:jc w:val="both"/>
      </w:pPr>
    </w:p>
    <w:p w:rsidR="008D2987" w:rsidRPr="00DC26C5" w:rsidRDefault="008D2987" w:rsidP="008D2987">
      <w:pPr>
        <w:pStyle w:val="Akapitzlist"/>
        <w:numPr>
          <w:ilvl w:val="0"/>
          <w:numId w:val="1"/>
        </w:numPr>
        <w:tabs>
          <w:tab w:val="left" w:pos="426"/>
        </w:tabs>
        <w:ind w:left="0" w:hanging="284"/>
        <w:contextualSpacing w:val="0"/>
        <w:jc w:val="both"/>
      </w:pPr>
      <w:r w:rsidRPr="00DC26C5">
        <w:t xml:space="preserve">Oceny </w:t>
      </w:r>
      <w:proofErr w:type="spellStart"/>
      <w:r w:rsidRPr="00DC26C5">
        <w:t>końcoworoczne</w:t>
      </w:r>
      <w:proofErr w:type="spellEnd"/>
      <w:r w:rsidRPr="00DC26C5">
        <w:t xml:space="preserve"> ustala się na podstawie średniej ważonej rocznej wg następującej skali:</w:t>
      </w:r>
    </w:p>
    <w:p w:rsidR="008D2987" w:rsidRPr="00DC26C5" w:rsidRDefault="008D2987" w:rsidP="008D2987">
      <w:pPr>
        <w:pStyle w:val="Akapitzlist"/>
        <w:ind w:left="0"/>
        <w:contextualSpacing w:val="0"/>
        <w:rPr>
          <w:b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3330"/>
        <w:gridCol w:w="2482"/>
      </w:tblGrid>
      <w:tr w:rsidR="008D2987" w:rsidRPr="0097284E" w:rsidTr="001D30FB">
        <w:tc>
          <w:tcPr>
            <w:tcW w:w="3330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Wartość średniej ważonej</w:t>
            </w:r>
          </w:p>
        </w:tc>
        <w:tc>
          <w:tcPr>
            <w:tcW w:w="2482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Ocena</w:t>
            </w:r>
          </w:p>
        </w:tc>
      </w:tr>
      <w:tr w:rsidR="008D2987" w:rsidRPr="0097284E" w:rsidTr="001D30FB">
        <w:tc>
          <w:tcPr>
            <w:tcW w:w="3330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5,5</w:t>
            </w:r>
            <w:r w:rsidRPr="0097284E">
              <w:rPr>
                <w:b/>
              </w:rPr>
              <w:t>1 – 6,00</w:t>
            </w:r>
          </w:p>
        </w:tc>
        <w:tc>
          <w:tcPr>
            <w:tcW w:w="2482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celujący</w:t>
            </w:r>
          </w:p>
        </w:tc>
      </w:tr>
      <w:tr w:rsidR="008D2987" w:rsidRPr="0097284E" w:rsidTr="001D30FB">
        <w:tc>
          <w:tcPr>
            <w:tcW w:w="3330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4,7</w:t>
            </w:r>
            <w:r>
              <w:rPr>
                <w:b/>
              </w:rPr>
              <w:t>5</w:t>
            </w:r>
            <w:r w:rsidRPr="0097284E">
              <w:rPr>
                <w:b/>
              </w:rPr>
              <w:t xml:space="preserve"> – 5,</w:t>
            </w:r>
            <w:r>
              <w:rPr>
                <w:b/>
              </w:rPr>
              <w:t>50</w:t>
            </w:r>
          </w:p>
        </w:tc>
        <w:tc>
          <w:tcPr>
            <w:tcW w:w="2482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bardzo dobry</w:t>
            </w:r>
          </w:p>
        </w:tc>
      </w:tr>
      <w:tr w:rsidR="008D2987" w:rsidRPr="0097284E" w:rsidTr="001D30FB">
        <w:tc>
          <w:tcPr>
            <w:tcW w:w="3330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3,7</w:t>
            </w:r>
            <w:r>
              <w:rPr>
                <w:b/>
              </w:rPr>
              <w:t>5</w:t>
            </w:r>
            <w:r w:rsidRPr="0097284E">
              <w:rPr>
                <w:b/>
              </w:rPr>
              <w:t xml:space="preserve"> – 4,</w:t>
            </w:r>
            <w:r>
              <w:rPr>
                <w:b/>
              </w:rPr>
              <w:t>74</w:t>
            </w:r>
          </w:p>
        </w:tc>
        <w:tc>
          <w:tcPr>
            <w:tcW w:w="2482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dobry</w:t>
            </w:r>
          </w:p>
        </w:tc>
      </w:tr>
      <w:tr w:rsidR="008D2987" w:rsidRPr="0097284E" w:rsidTr="001D30FB">
        <w:tc>
          <w:tcPr>
            <w:tcW w:w="3330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2,7</w:t>
            </w:r>
            <w:r>
              <w:rPr>
                <w:b/>
              </w:rPr>
              <w:t>5</w:t>
            </w:r>
            <w:r w:rsidRPr="0097284E">
              <w:rPr>
                <w:b/>
              </w:rPr>
              <w:t xml:space="preserve"> – 3,</w:t>
            </w:r>
            <w:r>
              <w:rPr>
                <w:b/>
              </w:rPr>
              <w:t>74</w:t>
            </w:r>
          </w:p>
        </w:tc>
        <w:tc>
          <w:tcPr>
            <w:tcW w:w="2482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dostateczny</w:t>
            </w:r>
          </w:p>
        </w:tc>
      </w:tr>
      <w:tr w:rsidR="008D2987" w:rsidRPr="0097284E" w:rsidTr="001D30FB">
        <w:tc>
          <w:tcPr>
            <w:tcW w:w="3330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1,5</w:t>
            </w:r>
            <w:r>
              <w:rPr>
                <w:b/>
              </w:rPr>
              <w:t>1</w:t>
            </w:r>
            <w:r w:rsidRPr="0097284E">
              <w:rPr>
                <w:b/>
              </w:rPr>
              <w:t xml:space="preserve"> – 2,</w:t>
            </w:r>
            <w:r>
              <w:rPr>
                <w:b/>
              </w:rPr>
              <w:t>74</w:t>
            </w:r>
          </w:p>
        </w:tc>
        <w:tc>
          <w:tcPr>
            <w:tcW w:w="2482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dopuszczający</w:t>
            </w:r>
          </w:p>
        </w:tc>
      </w:tr>
      <w:tr w:rsidR="008D2987" w:rsidRPr="0097284E" w:rsidTr="001D30FB">
        <w:tc>
          <w:tcPr>
            <w:tcW w:w="3330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1,50</w:t>
            </w:r>
            <w:r w:rsidRPr="0097284E">
              <w:rPr>
                <w:b/>
              </w:rPr>
              <w:t xml:space="preserve"> i niższa</w:t>
            </w:r>
          </w:p>
        </w:tc>
        <w:tc>
          <w:tcPr>
            <w:tcW w:w="2482" w:type="dxa"/>
          </w:tcPr>
          <w:p w:rsidR="008D2987" w:rsidRPr="0097284E" w:rsidRDefault="008D2987" w:rsidP="001D30FB">
            <w:pPr>
              <w:pStyle w:val="Akapitzlist"/>
              <w:ind w:left="0"/>
              <w:contextualSpacing w:val="0"/>
              <w:jc w:val="center"/>
              <w:rPr>
                <w:b/>
              </w:rPr>
            </w:pPr>
            <w:r w:rsidRPr="0097284E">
              <w:rPr>
                <w:b/>
              </w:rPr>
              <w:t>niedostateczny</w:t>
            </w:r>
          </w:p>
        </w:tc>
      </w:tr>
    </w:tbl>
    <w:p w:rsidR="008D2987" w:rsidRPr="0097284E" w:rsidRDefault="008D2987" w:rsidP="008D2987">
      <w:pPr>
        <w:pStyle w:val="Akapitzlist"/>
        <w:ind w:left="0"/>
        <w:contextualSpacing w:val="0"/>
        <w:rPr>
          <w:b/>
        </w:rPr>
      </w:pPr>
    </w:p>
    <w:p w:rsidR="008D2987" w:rsidRDefault="008D2987" w:rsidP="008D2987">
      <w:pPr>
        <w:pStyle w:val="Akapitzlist"/>
        <w:numPr>
          <w:ilvl w:val="0"/>
          <w:numId w:val="1"/>
        </w:numPr>
        <w:ind w:left="0" w:hanging="426"/>
        <w:contextualSpacing w:val="0"/>
        <w:jc w:val="both"/>
      </w:pPr>
      <w:r w:rsidRPr="0097284E">
        <w:t>Nieobecność ucznia na zapowiedzianej pracy</w:t>
      </w:r>
      <w:r>
        <w:t xml:space="preserve"> pisemnej odnotowuje się jako „</w:t>
      </w:r>
      <w:proofErr w:type="spellStart"/>
      <w:r>
        <w:t>nb</w:t>
      </w:r>
      <w:proofErr w:type="spellEnd"/>
      <w:r w:rsidRPr="0097284E">
        <w:t>”. W przypadku napisania przez ucznia zaległej pracy pisemnej, w terminie podan</w:t>
      </w:r>
      <w:r>
        <w:t>ym przez WZO, w miejscu wpisu „</w:t>
      </w:r>
      <w:proofErr w:type="spellStart"/>
      <w:r>
        <w:t>nb</w:t>
      </w:r>
      <w:proofErr w:type="spellEnd"/>
      <w:r w:rsidRPr="0097284E">
        <w:t>” wpisuje się ocenę, którą uczeń uzyskał z tej pracy.</w:t>
      </w:r>
      <w:r>
        <w:t xml:space="preserve"> </w:t>
      </w:r>
    </w:p>
    <w:p w:rsidR="008D2987" w:rsidRDefault="008D2987" w:rsidP="008D2987">
      <w:pPr>
        <w:pStyle w:val="Akapitzlist"/>
        <w:ind w:left="0"/>
        <w:contextualSpacing w:val="0"/>
        <w:jc w:val="both"/>
      </w:pPr>
    </w:p>
    <w:p w:rsidR="008D2987" w:rsidRDefault="008D2987" w:rsidP="008D2987">
      <w:pPr>
        <w:pStyle w:val="Akapitzlist"/>
        <w:numPr>
          <w:ilvl w:val="0"/>
          <w:numId w:val="1"/>
        </w:numPr>
        <w:ind w:left="0" w:hanging="426"/>
        <w:contextualSpacing w:val="0"/>
        <w:jc w:val="both"/>
      </w:pPr>
      <w:r>
        <w:t>W razie niewywiązania się ucznia z obowiązku napisania w wyznaczonym terminie zaległej pracy pisemnej nauczyciel w miejsce „</w:t>
      </w:r>
      <w:proofErr w:type="spellStart"/>
      <w:r>
        <w:t>nb</w:t>
      </w:r>
      <w:proofErr w:type="spellEnd"/>
      <w:r>
        <w:t>” wpisuje symbol „o”.</w:t>
      </w:r>
    </w:p>
    <w:p w:rsidR="008D2987" w:rsidRDefault="008D2987" w:rsidP="008D2987">
      <w:pPr>
        <w:pStyle w:val="Akapitzlist"/>
        <w:ind w:left="0"/>
        <w:contextualSpacing w:val="0"/>
      </w:pPr>
    </w:p>
    <w:p w:rsidR="008D2987" w:rsidRDefault="008D2987" w:rsidP="008D2987">
      <w:pPr>
        <w:pStyle w:val="Akapitzlist"/>
        <w:numPr>
          <w:ilvl w:val="0"/>
          <w:numId w:val="1"/>
        </w:numPr>
        <w:ind w:left="0" w:hanging="426"/>
        <w:contextualSpacing w:val="0"/>
        <w:jc w:val="both"/>
      </w:pPr>
      <w:r w:rsidRPr="0097284E">
        <w:t>„+” przy ocenie zwiększa jej wagę o 0,5, „-‘’ przy ocenie obniża jej wagę o 0,25.</w:t>
      </w:r>
    </w:p>
    <w:p w:rsidR="008D2987" w:rsidRDefault="008D2987" w:rsidP="008D2987">
      <w:pPr>
        <w:pStyle w:val="Akapitzlist"/>
        <w:ind w:left="0"/>
        <w:contextualSpacing w:val="0"/>
      </w:pPr>
    </w:p>
    <w:p w:rsidR="008D2987" w:rsidRDefault="008D2987" w:rsidP="008D2987">
      <w:pPr>
        <w:pStyle w:val="Akapitzlist"/>
        <w:numPr>
          <w:ilvl w:val="0"/>
          <w:numId w:val="1"/>
        </w:numPr>
        <w:ind w:left="0" w:hanging="426"/>
        <w:contextualSpacing w:val="0"/>
        <w:jc w:val="both"/>
      </w:pPr>
      <w:r w:rsidRPr="0097284E">
        <w:t>Za szczególne osiągnięcia w konkursach przedmiotowych oraz wyjątkowy wkład pracy na rzecz własnego rozwoju</w:t>
      </w:r>
      <w:r>
        <w:t>,</w:t>
      </w:r>
      <w:r w:rsidRPr="0097284E">
        <w:t xml:space="preserve"> ocena mimo niższej średniej może zostać przez nauczyciela podwyższona.</w:t>
      </w:r>
    </w:p>
    <w:p w:rsidR="008D2987" w:rsidRDefault="008D2987" w:rsidP="008D2987">
      <w:pPr>
        <w:pStyle w:val="Akapitzlist"/>
        <w:ind w:left="0"/>
        <w:contextualSpacing w:val="0"/>
      </w:pPr>
    </w:p>
    <w:p w:rsidR="008D2987" w:rsidRDefault="008D2987" w:rsidP="008D2987">
      <w:pPr>
        <w:pStyle w:val="Akapitzlist"/>
        <w:numPr>
          <w:ilvl w:val="0"/>
          <w:numId w:val="1"/>
        </w:numPr>
        <w:ind w:left="0" w:hanging="426"/>
        <w:contextualSpacing w:val="0"/>
        <w:jc w:val="both"/>
      </w:pPr>
      <w:r>
        <w:t xml:space="preserve">Brak </w:t>
      </w:r>
      <w:r w:rsidRPr="00853557">
        <w:t>oceny ze wskazanej przez nauczyciela pisemnej formy weryfikacji wiedzy</w:t>
      </w:r>
      <w:r w:rsidRPr="00853557">
        <w:br/>
        <w:t>i</w:t>
      </w:r>
      <w:r w:rsidRPr="00853557">
        <w:rPr>
          <w:rStyle w:val="markedcontent"/>
        </w:rPr>
        <w:t xml:space="preserve"> </w:t>
      </w:r>
      <w:r w:rsidRPr="00853557">
        <w:t>umiejętności może skutkować obniżeniem oceny śródrocznej lub rocznej oceny</w:t>
      </w:r>
      <w:r w:rsidRPr="00853557">
        <w:br/>
        <w:t>klasyfikacyjnej z przedmiotu.</w:t>
      </w:r>
    </w:p>
    <w:p w:rsidR="008D2987" w:rsidRDefault="008D2987" w:rsidP="008D2987">
      <w:pPr>
        <w:pStyle w:val="Akapitzlist"/>
        <w:ind w:left="0"/>
        <w:contextualSpacing w:val="0"/>
      </w:pPr>
    </w:p>
    <w:p w:rsidR="00E319B2" w:rsidRDefault="00E319B2"/>
    <w:sectPr w:rsidR="00E3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5911"/>
    <w:multiLevelType w:val="hybridMultilevel"/>
    <w:tmpl w:val="44886E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B444A7"/>
    <w:multiLevelType w:val="hybridMultilevel"/>
    <w:tmpl w:val="8D4E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978A2"/>
    <w:multiLevelType w:val="hybridMultilevel"/>
    <w:tmpl w:val="48C63F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6D02"/>
    <w:multiLevelType w:val="hybridMultilevel"/>
    <w:tmpl w:val="CE6E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7"/>
    <w:rsid w:val="008D2987"/>
    <w:rsid w:val="00E3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6FB6-9C54-4FC8-A4C9-8001C9A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987"/>
    <w:pPr>
      <w:ind w:left="720"/>
      <w:contextualSpacing/>
    </w:pPr>
  </w:style>
  <w:style w:type="paragraph" w:customStyle="1" w:styleId="Default">
    <w:name w:val="Default"/>
    <w:rsid w:val="008D2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D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SP13</dc:creator>
  <cp:keywords/>
  <dc:description/>
  <cp:lastModifiedBy>SP13</cp:lastModifiedBy>
  <cp:revision>2</cp:revision>
  <dcterms:created xsi:type="dcterms:W3CDTF">2021-11-01T16:34:00Z</dcterms:created>
  <dcterms:modified xsi:type="dcterms:W3CDTF">2021-11-01T16:36:00Z</dcterms:modified>
</cp:coreProperties>
</file>